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275971">
      <w:pPr>
        <w:spacing w:line="480" w:lineRule="auto"/>
        <w:jc w:val="center"/>
        <w:rPr>
          <w:rFonts w:ascii="Times New Roman" w:hAnsi="Times New Roman" w:cs="Times New Roman"/>
          <w:sz w:val="24"/>
          <w:szCs w:val="24"/>
        </w:rPr>
      </w:pPr>
      <w:r>
        <w:rPr>
          <w:rFonts w:ascii="Times New Roman" w:hAnsi="Times New Roman" w:cs="Times New Roman"/>
          <w:sz w:val="24"/>
          <w:szCs w:val="24"/>
        </w:rPr>
        <w:t>DELEGATION DOCTRINE</w:t>
      </w:r>
    </w:p>
    <w:p w:rsidR="00275971" w:rsidRDefault="00275971" w:rsidP="0027597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75971" w:rsidRDefault="00275971" w:rsidP="0027597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275971" w:rsidRDefault="00275971" w:rsidP="00275971">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275971" w:rsidRDefault="00275971" w:rsidP="0027597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867C67" w:rsidRPr="00867C67" w:rsidRDefault="00867C67" w:rsidP="00867C67">
      <w:pPr>
        <w:spacing w:line="480" w:lineRule="auto"/>
        <w:rPr>
          <w:rFonts w:ascii="Times New Roman" w:hAnsi="Times New Roman" w:cs="Times New Roman"/>
          <w:sz w:val="24"/>
          <w:szCs w:val="24"/>
        </w:rPr>
      </w:pP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t xml:space="preserve">South Dakota vs. Lower Brule Sioux Tribe case presents several issues that shed lights into the legislative delegation of power. The paper will analyze some of the issues discussed in this case to review whether it was an unconstitutional or constitutional delegation of legislative power to take certain land into trust for the Lower Brule Sioux Tribe. The paper will then address the reason why the court was involved in this scenario. The paper will finally discuss the significance of this case for public administrators in understanding the delegation doctrine. </w:t>
      </w: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t xml:space="preserve">The first question presented is whether the provisions of the Indian Reorganization Act, 25 U.S.C.461 et seq., that gives authority to the Secretary of Interior to take some property into trust "for the reason of providing land for the Indian community," is an unconstitutional delegation of legislative power. The paper reviews Congress in exercising its power in this case. The paper argues that Congress did not violate the constitution merely because it legislated in broad terms, leaving a certain degree of discretion to executive or judicial actors. In </w:t>
      </w:r>
      <w:proofErr w:type="spellStart"/>
      <w:r w:rsidRPr="00867C67">
        <w:rPr>
          <w:rFonts w:ascii="Times New Roman" w:hAnsi="Times New Roman" w:cs="Times New Roman"/>
          <w:sz w:val="24"/>
          <w:szCs w:val="24"/>
        </w:rPr>
        <w:t>Touby</w:t>
      </w:r>
      <w:proofErr w:type="spellEnd"/>
      <w:r w:rsidRPr="00867C67">
        <w:rPr>
          <w:rFonts w:ascii="Times New Roman" w:hAnsi="Times New Roman" w:cs="Times New Roman"/>
          <w:sz w:val="24"/>
          <w:szCs w:val="24"/>
        </w:rPr>
        <w:t xml:space="preserve"> v. the United States, 500 U.S. 160, 165 (1991). It is constitutionally sufficient if Congress delineates the general policy, the public agency which is to apply it, and the boundaries of this delegated authority.</w:t>
      </w: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t>Furthermore, the Congress enacted the IRA to champion for Indian self-government and economic self-sufficiency. This Act would help rehabilitate the Indians economic life and give them a chance to develop the initiative destroyed by a century of oppression and paternalism (</w:t>
      </w:r>
      <w:proofErr w:type="spellStart"/>
      <w:r w:rsidRPr="00867C67">
        <w:rPr>
          <w:rFonts w:ascii="Times New Roman" w:hAnsi="Times New Roman" w:cs="Times New Roman"/>
          <w:sz w:val="24"/>
          <w:szCs w:val="24"/>
        </w:rPr>
        <w:t>Feraca</w:t>
      </w:r>
      <w:proofErr w:type="spellEnd"/>
      <w:r w:rsidRPr="00867C67">
        <w:rPr>
          <w:rFonts w:ascii="Times New Roman" w:hAnsi="Times New Roman" w:cs="Times New Roman"/>
          <w:sz w:val="24"/>
          <w:szCs w:val="24"/>
        </w:rPr>
        <w:t xml:space="preserve">, 1963).  Therefore, the move by Congress was to prove its overriding goal of encouraging tribal self-sufficiency and economic development. Congress was mainly concerned with reversing the disastrous consequences of the Indian General Allotment Act of 1887, which had weakened tribal settings and eroded the Indian tribal land base. Moreover, Congress </w:t>
      </w:r>
      <w:r w:rsidRPr="00867C67">
        <w:rPr>
          <w:rFonts w:ascii="Times New Roman" w:hAnsi="Times New Roman" w:cs="Times New Roman"/>
          <w:sz w:val="24"/>
          <w:szCs w:val="24"/>
        </w:rPr>
        <w:lastRenderedPageBreak/>
        <w:t>identified the conservation and development of Indian lands and resources as one of the core functions of the IRA.</w:t>
      </w: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t xml:space="preserve">Furthermore, the IRA's legislative history confirms the Congressional purpose that is evident in the statutory text. As the court of appeal observed, the continuous references in the House and the Senate Reports as well as debates in the chambers to the goal of providing land to Indian individuals and tribes whose land was not sufficient for their self-support. Also, the petitioners errored in suggesting that the legislative history demonstrates that Congress stripped section 465 of any standards. In contrary to this, Congress crafted the IRA to give authority to the secretary to implement the purposes of the Act-advancing tribal economic development, assisting tribal self-governance and restoring the ancestral tribal land base. In respect to Indian Affairs, this was an acted in accordance to the constitution. Therefore, it was the constitutional delegation of power as acted by the Congress.     </w:t>
      </w: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t xml:space="preserve">The paper also discusses the exercising of power by the secretary. The purpose of the IRA as reflected in its texts, structure, context, and history provide the intelligible principles that guide the secretary in the exercising of his authority under section 465. The Secretary may acquire land, for the sole reason of providing land for the Indian community, within the requirements of section 465, when the acquisition of this land may serve such purposes as advancing tribal economic development, assisting tribal self-governance, and restoring the ancestral tribal land base. With such long-established focus on IRA, the secretary recognized that section 465 does not confer boundless discretion. For example, in adopting a regulatory statement of land-acquisition policy under section 465, the secretary expressed his understanding that "the policy is within the scope of existing statutory authority and hence reflects Congressional intent."  Moreover, the secretary has identified through regulation the specific factors, derived from the </w:t>
      </w:r>
      <w:r w:rsidRPr="00867C67">
        <w:rPr>
          <w:rFonts w:ascii="Times New Roman" w:hAnsi="Times New Roman" w:cs="Times New Roman"/>
          <w:sz w:val="24"/>
          <w:szCs w:val="24"/>
        </w:rPr>
        <w:lastRenderedPageBreak/>
        <w:t xml:space="preserve">specific factors, derived from the purposes of the IRA and the secretary's experience in administering it, that guide his decisions to take lands into trust for tribes and individual Indians. By setting up these standards that govern trust acquisition decisions, the secretary had not only observed but had also given concrete expression to, the limiting principles in the IRA. </w:t>
      </w: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t xml:space="preserve">Furthermore, the secretary made important decisions regarding taxes that would have been incurred in holding this land under a trust. Because this land was owned by the tribe in unrestricted fee status before its application for trust status, the Secretary also evaluated the impact of the loss of taxes on the state. He found out that the state would lose millions of dollars in taxes, and expressed his belief that the amount was insignificant in light of the great benefit to the tribe. Such a decision was important bearing in mind that this land would be of much benefit to the tribe regarding improving the economic status of the Tribe. Moreover, the decision by the Secretary to conclude that no serious jurisdictional problems might arise if the land was put into trust was appropriate. He carefully considered the availability of law enforcement agencies, noting that the BIA would provide these services considering that the Tribe had expressed the intention of paying for any additional services received from the city of </w:t>
      </w:r>
      <w:proofErr w:type="spellStart"/>
      <w:r w:rsidRPr="00867C67">
        <w:rPr>
          <w:rFonts w:ascii="Times New Roman" w:hAnsi="Times New Roman" w:cs="Times New Roman"/>
          <w:sz w:val="24"/>
          <w:szCs w:val="24"/>
        </w:rPr>
        <w:t>Oacoma</w:t>
      </w:r>
      <w:proofErr w:type="spellEnd"/>
      <w:r w:rsidRPr="00867C67">
        <w:rPr>
          <w:rFonts w:ascii="Times New Roman" w:hAnsi="Times New Roman" w:cs="Times New Roman"/>
          <w:sz w:val="24"/>
          <w:szCs w:val="24"/>
        </w:rPr>
        <w:t xml:space="preserve">. It was also appropriate for the secretary to take into account that no jurisdictional issues might arise from the Tribe's acquisition in 1995 of some 3,400 acres of land lying west of the Lower Brule Reservation. Therefore, the decisions by the Secretary to take certain land into trust for the Lower Brule Sioux Tribe was a constitutional delegation of power (Cornell, 1995). </w:t>
      </w: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t xml:space="preserve">Involving the court, in this case, was crucial in putting certain land into trust for the Lower Brule Sioux Tribe. The court has jurisdiction over different types of cases. The federal court in this scenario proved vital in solving the case involving the violations of the United States Constitution. The court, therefore, was involved in solving the case involving the breach of the </w:t>
      </w:r>
      <w:r w:rsidRPr="00867C67">
        <w:rPr>
          <w:rFonts w:ascii="Times New Roman" w:hAnsi="Times New Roman" w:cs="Times New Roman"/>
          <w:sz w:val="24"/>
          <w:szCs w:val="24"/>
        </w:rPr>
        <w:lastRenderedPageBreak/>
        <w:t xml:space="preserve">United States Constitution. Furthermore, it played a vital role in determining the legality of this case. The justice system is mandated to uphold the rule of law. The courts provide a platform that helps resolve disputes and test and enforce instilled laws in a manner that is fair and rational.  The judges in court have the mandate to freely apply the law without regard to the government's wishes or the weight of public opinion. The court was also involved here to indicate the power of the Congress in organizing the Supreme Court. Article III, section I of the Constitution states that "The Judicial Power of the United States, shall be vested in one Supreme Court, and in such inferior Courts as the Congress may from time to time ordain and establish." Therefore, even though the Constitution establishes the Supreme Court, it grants the Congress power to decide how to organize it. </w:t>
      </w: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t>This case also provides a platform where public administrators can well understand the delegation doctrine (</w:t>
      </w:r>
      <w:proofErr w:type="spellStart"/>
      <w:r w:rsidRPr="00867C67">
        <w:rPr>
          <w:rFonts w:ascii="Times New Roman" w:hAnsi="Times New Roman" w:cs="Times New Roman"/>
          <w:sz w:val="24"/>
          <w:szCs w:val="24"/>
        </w:rPr>
        <w:t>Schoenbrod</w:t>
      </w:r>
      <w:proofErr w:type="spellEnd"/>
      <w:r w:rsidRPr="00867C67">
        <w:rPr>
          <w:rFonts w:ascii="Times New Roman" w:hAnsi="Times New Roman" w:cs="Times New Roman"/>
          <w:sz w:val="24"/>
          <w:szCs w:val="24"/>
        </w:rPr>
        <w:t xml:space="preserve">, 1986). The Delegation Doctrine is a principle that limits Congress its ability to transfer its legislative power to another government branch, especially the Executive branch. This principle is based on the concept of separation of power. The constitution gives the legislature the power to declare if there will be a law or not, to also determine the general policy to be achieved by the law and fix the limits within which this law will operate. This means that any statute conferring excessive legislative power is invalid because it is unconstitutional to delegate powers. The delegation of powers is only permitted only if Congress provides clear standards to guide an executive agency in drafting the policy. The states whose constitutions contain a separation of powers doctrine have adopted some version of the delegation doctrine, which permits the legislature to delegate administration of the law to non-legislative agencies like administrative agencies. Therefore, this doctrine allows the legislature to focus on the crucial aspects of a law hence allowing agencies promulgate rules of administering </w:t>
      </w:r>
      <w:r w:rsidRPr="00867C67">
        <w:rPr>
          <w:rFonts w:ascii="Times New Roman" w:hAnsi="Times New Roman" w:cs="Times New Roman"/>
          <w:sz w:val="24"/>
          <w:szCs w:val="24"/>
        </w:rPr>
        <w:lastRenderedPageBreak/>
        <w:t xml:space="preserve">the law. Courts play a role in invalidating a legislation if it does not provide enough standards for the agency charged with the mandate of filling in such legislative gaps. This case is therefore significant in understanding the separation of power to help in acquiring this land on trust. The separation of power between the Congress and the Secretary is a key issue to analyze. The Congress granted power to the secretary through the governing executive to acquire the land and put it into trust. IRA delegations of authority gave the Secretary of Interior authority to acquire through, purchase, relinquishment, gift exchange, or assignment, any interest in lands, water rights, land that would provide economic development to the Indians. Furthermore, the court played a significant role in transferring power to help solve this case. The district court, in particular, gave an opinion to uphold the administrative agency's decision. </w:t>
      </w: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t xml:space="preserve">The paper, therefore, concludes that the secretary and the Congress, in excising their powers was in accordance to constitutional delegation of power. This was aimed at ensuring the land issue was solved to ensure economic development of people in the Lower Brule Sioux Tribe. Furthermore, this case provides a significant information for public administrators understand the delegation doctrine.    </w:t>
      </w:r>
    </w:p>
    <w:p w:rsidR="00867C67" w:rsidRPr="00867C67" w:rsidRDefault="00867C67" w:rsidP="00867C67">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867C67" w:rsidRDefault="00867C67" w:rsidP="009E5018">
      <w:pPr>
        <w:spacing w:line="480" w:lineRule="auto"/>
        <w:rPr>
          <w:rFonts w:ascii="Times New Roman" w:hAnsi="Times New Roman" w:cs="Times New Roman"/>
          <w:sz w:val="24"/>
          <w:szCs w:val="24"/>
        </w:rPr>
      </w:pPr>
    </w:p>
    <w:p w:rsidR="00867C67" w:rsidRDefault="00867C67" w:rsidP="009E5018">
      <w:pPr>
        <w:spacing w:line="480" w:lineRule="auto"/>
        <w:rPr>
          <w:rFonts w:ascii="Times New Roman" w:hAnsi="Times New Roman" w:cs="Times New Roman"/>
          <w:sz w:val="24"/>
          <w:szCs w:val="24"/>
        </w:rPr>
      </w:pPr>
    </w:p>
    <w:p w:rsidR="00867C67" w:rsidRDefault="00867C67" w:rsidP="009E5018">
      <w:pPr>
        <w:spacing w:line="480" w:lineRule="auto"/>
        <w:rPr>
          <w:rFonts w:ascii="Times New Roman" w:hAnsi="Times New Roman" w:cs="Times New Roman"/>
          <w:sz w:val="24"/>
          <w:szCs w:val="24"/>
        </w:rPr>
      </w:pPr>
    </w:p>
    <w:p w:rsidR="00867C67" w:rsidRDefault="00867C67" w:rsidP="009E5018">
      <w:pPr>
        <w:spacing w:line="480" w:lineRule="auto"/>
        <w:rPr>
          <w:rFonts w:ascii="Times New Roman" w:hAnsi="Times New Roman" w:cs="Times New Roman"/>
          <w:sz w:val="24"/>
          <w:szCs w:val="24"/>
        </w:rPr>
      </w:pPr>
    </w:p>
    <w:p w:rsidR="00A4266F" w:rsidRPr="00275971" w:rsidRDefault="00D25351" w:rsidP="00D2535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r w:rsidR="00A4266F" w:rsidRPr="00275971">
        <w:rPr>
          <w:rFonts w:ascii="Times New Roman" w:hAnsi="Times New Roman" w:cs="Times New Roman"/>
          <w:sz w:val="24"/>
          <w:szCs w:val="24"/>
        </w:rPr>
        <w:t xml:space="preserve">. </w:t>
      </w:r>
    </w:p>
    <w:p w:rsidR="00A4266F" w:rsidRPr="00275971" w:rsidRDefault="00A4266F" w:rsidP="00A4266F">
      <w:pPr>
        <w:spacing w:line="240" w:lineRule="auto"/>
        <w:ind w:left="720" w:hanging="720"/>
        <w:rPr>
          <w:rFonts w:ascii="Times New Roman" w:hAnsi="Times New Roman" w:cs="Times New Roman"/>
          <w:color w:val="222222"/>
          <w:sz w:val="24"/>
          <w:szCs w:val="24"/>
          <w:shd w:val="clear" w:color="auto" w:fill="FFFFFF"/>
        </w:rPr>
      </w:pPr>
      <w:r w:rsidRPr="00275971">
        <w:rPr>
          <w:rFonts w:ascii="Times New Roman" w:hAnsi="Times New Roman" w:cs="Times New Roman"/>
          <w:color w:val="222222"/>
          <w:sz w:val="24"/>
          <w:szCs w:val="24"/>
          <w:shd w:val="clear" w:color="auto" w:fill="FFFFFF"/>
        </w:rPr>
        <w:t xml:space="preserve">Cornell, S., &amp; </w:t>
      </w:r>
      <w:proofErr w:type="spellStart"/>
      <w:r w:rsidRPr="00275971">
        <w:rPr>
          <w:rFonts w:ascii="Times New Roman" w:hAnsi="Times New Roman" w:cs="Times New Roman"/>
          <w:color w:val="222222"/>
          <w:sz w:val="24"/>
          <w:szCs w:val="24"/>
          <w:shd w:val="clear" w:color="auto" w:fill="FFFFFF"/>
        </w:rPr>
        <w:t>Kalt</w:t>
      </w:r>
      <w:proofErr w:type="spellEnd"/>
      <w:r w:rsidRPr="00275971">
        <w:rPr>
          <w:rFonts w:ascii="Times New Roman" w:hAnsi="Times New Roman" w:cs="Times New Roman"/>
          <w:color w:val="222222"/>
          <w:sz w:val="24"/>
          <w:szCs w:val="24"/>
          <w:shd w:val="clear" w:color="auto" w:fill="FFFFFF"/>
        </w:rPr>
        <w:t>, J. P. (1995). Where does economic development really come from? Constitutional rule among the contemporary Sioux and Apache. </w:t>
      </w:r>
      <w:r w:rsidRPr="00275971">
        <w:rPr>
          <w:rFonts w:ascii="Times New Roman" w:hAnsi="Times New Roman" w:cs="Times New Roman"/>
          <w:i/>
          <w:iCs/>
          <w:color w:val="222222"/>
          <w:sz w:val="24"/>
          <w:szCs w:val="24"/>
          <w:shd w:val="clear" w:color="auto" w:fill="FFFFFF"/>
        </w:rPr>
        <w:t>Economic Inquiry</w:t>
      </w:r>
      <w:r w:rsidRPr="00275971">
        <w:rPr>
          <w:rFonts w:ascii="Times New Roman" w:hAnsi="Times New Roman" w:cs="Times New Roman"/>
          <w:color w:val="222222"/>
          <w:sz w:val="24"/>
          <w:szCs w:val="24"/>
          <w:shd w:val="clear" w:color="auto" w:fill="FFFFFF"/>
        </w:rPr>
        <w:t>, </w:t>
      </w:r>
      <w:r w:rsidRPr="00275971">
        <w:rPr>
          <w:rFonts w:ascii="Times New Roman" w:hAnsi="Times New Roman" w:cs="Times New Roman"/>
          <w:i/>
          <w:iCs/>
          <w:color w:val="222222"/>
          <w:sz w:val="24"/>
          <w:szCs w:val="24"/>
          <w:shd w:val="clear" w:color="auto" w:fill="FFFFFF"/>
        </w:rPr>
        <w:t>33</w:t>
      </w:r>
      <w:r w:rsidRPr="00275971">
        <w:rPr>
          <w:rFonts w:ascii="Times New Roman" w:hAnsi="Times New Roman" w:cs="Times New Roman"/>
          <w:color w:val="222222"/>
          <w:sz w:val="24"/>
          <w:szCs w:val="24"/>
          <w:shd w:val="clear" w:color="auto" w:fill="FFFFFF"/>
        </w:rPr>
        <w:t>(3), 402-426.</w:t>
      </w:r>
    </w:p>
    <w:p w:rsidR="00A4266F" w:rsidRPr="00275971" w:rsidRDefault="00A4266F" w:rsidP="00A4266F">
      <w:pPr>
        <w:spacing w:line="240" w:lineRule="auto"/>
        <w:ind w:left="720" w:hanging="720"/>
        <w:rPr>
          <w:rFonts w:ascii="Times New Roman" w:hAnsi="Times New Roman" w:cs="Times New Roman"/>
          <w:color w:val="222222"/>
          <w:sz w:val="24"/>
          <w:szCs w:val="24"/>
          <w:shd w:val="clear" w:color="auto" w:fill="FFFFFF"/>
        </w:rPr>
      </w:pPr>
      <w:proofErr w:type="spellStart"/>
      <w:r w:rsidRPr="00275971">
        <w:rPr>
          <w:rFonts w:ascii="Times New Roman" w:hAnsi="Times New Roman" w:cs="Times New Roman"/>
          <w:color w:val="222222"/>
          <w:sz w:val="24"/>
          <w:szCs w:val="24"/>
          <w:shd w:val="clear" w:color="auto" w:fill="FFFFFF"/>
        </w:rPr>
        <w:t>Feraca</w:t>
      </w:r>
      <w:proofErr w:type="spellEnd"/>
      <w:r w:rsidRPr="00275971">
        <w:rPr>
          <w:rFonts w:ascii="Times New Roman" w:hAnsi="Times New Roman" w:cs="Times New Roman"/>
          <w:color w:val="222222"/>
          <w:sz w:val="24"/>
          <w:szCs w:val="24"/>
          <w:shd w:val="clear" w:color="auto" w:fill="FFFFFF"/>
        </w:rPr>
        <w:t>, S. E., &amp; Howard, J. H. (1963). The identity and demography of the Dakota or Sioux tribe. </w:t>
      </w:r>
      <w:r w:rsidRPr="00275971">
        <w:rPr>
          <w:rFonts w:ascii="Times New Roman" w:hAnsi="Times New Roman" w:cs="Times New Roman"/>
          <w:i/>
          <w:iCs/>
          <w:color w:val="222222"/>
          <w:sz w:val="24"/>
          <w:szCs w:val="24"/>
          <w:shd w:val="clear" w:color="auto" w:fill="FFFFFF"/>
        </w:rPr>
        <w:t>Plains Anthropologist</w:t>
      </w:r>
      <w:r w:rsidRPr="00275971">
        <w:rPr>
          <w:rFonts w:ascii="Times New Roman" w:hAnsi="Times New Roman" w:cs="Times New Roman"/>
          <w:color w:val="222222"/>
          <w:sz w:val="24"/>
          <w:szCs w:val="24"/>
          <w:shd w:val="clear" w:color="auto" w:fill="FFFFFF"/>
        </w:rPr>
        <w:t>, </w:t>
      </w:r>
      <w:r w:rsidRPr="00275971">
        <w:rPr>
          <w:rFonts w:ascii="Times New Roman" w:hAnsi="Times New Roman" w:cs="Times New Roman"/>
          <w:i/>
          <w:iCs/>
          <w:color w:val="222222"/>
          <w:sz w:val="24"/>
          <w:szCs w:val="24"/>
          <w:shd w:val="clear" w:color="auto" w:fill="FFFFFF"/>
        </w:rPr>
        <w:t>8</w:t>
      </w:r>
      <w:r w:rsidRPr="00275971">
        <w:rPr>
          <w:rFonts w:ascii="Times New Roman" w:hAnsi="Times New Roman" w:cs="Times New Roman"/>
          <w:color w:val="222222"/>
          <w:sz w:val="24"/>
          <w:szCs w:val="24"/>
          <w:shd w:val="clear" w:color="auto" w:fill="FFFFFF"/>
        </w:rPr>
        <w:t>(20), 80-85.</w:t>
      </w:r>
    </w:p>
    <w:p w:rsidR="00A4266F" w:rsidRPr="00275971" w:rsidRDefault="00A4266F" w:rsidP="00A4266F">
      <w:pPr>
        <w:spacing w:line="240" w:lineRule="auto"/>
        <w:ind w:left="720" w:hanging="720"/>
        <w:rPr>
          <w:rFonts w:ascii="Times New Roman" w:hAnsi="Times New Roman" w:cs="Times New Roman"/>
          <w:sz w:val="24"/>
          <w:szCs w:val="24"/>
        </w:rPr>
      </w:pPr>
      <w:proofErr w:type="spellStart"/>
      <w:r w:rsidRPr="00275971">
        <w:rPr>
          <w:rFonts w:ascii="Times New Roman" w:hAnsi="Times New Roman" w:cs="Times New Roman"/>
          <w:color w:val="222222"/>
          <w:sz w:val="24"/>
          <w:szCs w:val="24"/>
          <w:shd w:val="clear" w:color="auto" w:fill="FFFFFF"/>
        </w:rPr>
        <w:t>Schoenbrod</w:t>
      </w:r>
      <w:proofErr w:type="spellEnd"/>
      <w:r w:rsidRPr="00275971">
        <w:rPr>
          <w:rFonts w:ascii="Times New Roman" w:hAnsi="Times New Roman" w:cs="Times New Roman"/>
          <w:color w:val="222222"/>
          <w:sz w:val="24"/>
          <w:szCs w:val="24"/>
          <w:shd w:val="clear" w:color="auto" w:fill="FFFFFF"/>
        </w:rPr>
        <w:t>, D. (1985). The Delegation Doctrine: Could the Court Give It Substance</w:t>
      </w:r>
      <w:proofErr w:type="gramStart"/>
      <w:r w:rsidRPr="00275971">
        <w:rPr>
          <w:rFonts w:ascii="Times New Roman" w:hAnsi="Times New Roman" w:cs="Times New Roman"/>
          <w:color w:val="222222"/>
          <w:sz w:val="24"/>
          <w:szCs w:val="24"/>
          <w:shd w:val="clear" w:color="auto" w:fill="FFFFFF"/>
        </w:rPr>
        <w:t>?.</w:t>
      </w:r>
      <w:proofErr w:type="gramEnd"/>
      <w:r w:rsidRPr="00275971">
        <w:rPr>
          <w:rFonts w:ascii="Times New Roman" w:hAnsi="Times New Roman" w:cs="Times New Roman"/>
          <w:color w:val="222222"/>
          <w:sz w:val="24"/>
          <w:szCs w:val="24"/>
          <w:shd w:val="clear" w:color="auto" w:fill="FFFFFF"/>
        </w:rPr>
        <w:t> </w:t>
      </w:r>
      <w:r w:rsidRPr="00275971">
        <w:rPr>
          <w:rFonts w:ascii="Times New Roman" w:hAnsi="Times New Roman" w:cs="Times New Roman"/>
          <w:i/>
          <w:iCs/>
          <w:color w:val="222222"/>
          <w:sz w:val="24"/>
          <w:szCs w:val="24"/>
          <w:shd w:val="clear" w:color="auto" w:fill="FFFFFF"/>
        </w:rPr>
        <w:t>Michigan Law Review</w:t>
      </w:r>
      <w:r w:rsidRPr="00275971">
        <w:rPr>
          <w:rFonts w:ascii="Times New Roman" w:hAnsi="Times New Roman" w:cs="Times New Roman"/>
          <w:color w:val="222222"/>
          <w:sz w:val="24"/>
          <w:szCs w:val="24"/>
          <w:shd w:val="clear" w:color="auto" w:fill="FFFFFF"/>
        </w:rPr>
        <w:t>, </w:t>
      </w:r>
      <w:r w:rsidRPr="00275971">
        <w:rPr>
          <w:rFonts w:ascii="Times New Roman" w:hAnsi="Times New Roman" w:cs="Times New Roman"/>
          <w:i/>
          <w:iCs/>
          <w:color w:val="222222"/>
          <w:sz w:val="24"/>
          <w:szCs w:val="24"/>
          <w:shd w:val="clear" w:color="auto" w:fill="FFFFFF"/>
        </w:rPr>
        <w:t>83</w:t>
      </w:r>
      <w:r w:rsidRPr="00275971">
        <w:rPr>
          <w:rFonts w:ascii="Times New Roman" w:hAnsi="Times New Roman" w:cs="Times New Roman"/>
          <w:color w:val="222222"/>
          <w:sz w:val="24"/>
          <w:szCs w:val="24"/>
          <w:shd w:val="clear" w:color="auto" w:fill="FFFFFF"/>
        </w:rPr>
        <w:t>(5), 1223-1290.</w:t>
      </w:r>
      <w:r w:rsidRPr="00275971">
        <w:rPr>
          <w:rFonts w:ascii="Times New Roman" w:hAnsi="Times New Roman" w:cs="Times New Roman"/>
          <w:sz w:val="24"/>
          <w:szCs w:val="24"/>
        </w:rPr>
        <w:t xml:space="preserve">                </w:t>
      </w:r>
    </w:p>
    <w:p w:rsidR="00A4266F" w:rsidRPr="00275971" w:rsidRDefault="00A4266F" w:rsidP="00A4266F">
      <w:pPr>
        <w:spacing w:line="240" w:lineRule="auto"/>
        <w:ind w:left="720" w:hanging="720"/>
        <w:rPr>
          <w:rFonts w:ascii="Times New Roman" w:hAnsi="Times New Roman" w:cs="Times New Roman"/>
          <w:color w:val="222222"/>
          <w:sz w:val="24"/>
          <w:szCs w:val="24"/>
          <w:shd w:val="clear" w:color="auto" w:fill="FFFFFF"/>
        </w:rPr>
      </w:pPr>
      <w:proofErr w:type="spellStart"/>
      <w:r w:rsidRPr="00275971">
        <w:rPr>
          <w:rFonts w:ascii="Times New Roman" w:hAnsi="Times New Roman" w:cs="Times New Roman"/>
          <w:color w:val="222222"/>
          <w:sz w:val="24"/>
          <w:szCs w:val="24"/>
          <w:shd w:val="clear" w:color="auto" w:fill="FFFFFF"/>
        </w:rPr>
        <w:t>Schoenbrod</w:t>
      </w:r>
      <w:proofErr w:type="spellEnd"/>
      <w:r w:rsidRPr="00275971">
        <w:rPr>
          <w:rFonts w:ascii="Times New Roman" w:hAnsi="Times New Roman" w:cs="Times New Roman"/>
          <w:color w:val="222222"/>
          <w:sz w:val="24"/>
          <w:szCs w:val="24"/>
          <w:shd w:val="clear" w:color="auto" w:fill="FFFFFF"/>
        </w:rPr>
        <w:t>, D. (1986). Separation of Powers and the Powers That Be: The Constitutional Purposes of the Delegation Doctrine. </w:t>
      </w:r>
      <w:r w:rsidRPr="00275971">
        <w:rPr>
          <w:rFonts w:ascii="Times New Roman" w:hAnsi="Times New Roman" w:cs="Times New Roman"/>
          <w:i/>
          <w:iCs/>
          <w:color w:val="222222"/>
          <w:sz w:val="24"/>
          <w:szCs w:val="24"/>
          <w:shd w:val="clear" w:color="auto" w:fill="FFFFFF"/>
        </w:rPr>
        <w:t>Am. UL Rev.</w:t>
      </w:r>
      <w:r w:rsidRPr="00275971">
        <w:rPr>
          <w:rFonts w:ascii="Times New Roman" w:hAnsi="Times New Roman" w:cs="Times New Roman"/>
          <w:color w:val="222222"/>
          <w:sz w:val="24"/>
          <w:szCs w:val="24"/>
          <w:shd w:val="clear" w:color="auto" w:fill="FFFFFF"/>
        </w:rPr>
        <w:t>, </w:t>
      </w:r>
      <w:r w:rsidRPr="00275971">
        <w:rPr>
          <w:rFonts w:ascii="Times New Roman" w:hAnsi="Times New Roman" w:cs="Times New Roman"/>
          <w:i/>
          <w:iCs/>
          <w:color w:val="222222"/>
          <w:sz w:val="24"/>
          <w:szCs w:val="24"/>
          <w:shd w:val="clear" w:color="auto" w:fill="FFFFFF"/>
        </w:rPr>
        <w:t>36</w:t>
      </w:r>
      <w:r w:rsidRPr="00275971">
        <w:rPr>
          <w:rFonts w:ascii="Times New Roman" w:hAnsi="Times New Roman" w:cs="Times New Roman"/>
          <w:color w:val="222222"/>
          <w:sz w:val="24"/>
          <w:szCs w:val="24"/>
          <w:shd w:val="clear" w:color="auto" w:fill="FFFFFF"/>
        </w:rPr>
        <w:t>, 355.</w:t>
      </w:r>
    </w:p>
    <w:p w:rsidR="0000779C" w:rsidRPr="00275971" w:rsidRDefault="00497FDA" w:rsidP="009E5018">
      <w:pPr>
        <w:spacing w:line="480" w:lineRule="auto"/>
        <w:rPr>
          <w:rFonts w:ascii="Times New Roman" w:hAnsi="Times New Roman" w:cs="Times New Roman"/>
          <w:sz w:val="24"/>
          <w:szCs w:val="24"/>
        </w:rPr>
      </w:pPr>
      <w:r w:rsidRPr="00275971">
        <w:rPr>
          <w:rFonts w:ascii="Times New Roman" w:hAnsi="Times New Roman" w:cs="Times New Roman"/>
          <w:sz w:val="24"/>
          <w:szCs w:val="24"/>
        </w:rPr>
        <w:t xml:space="preserve"> </w:t>
      </w:r>
      <w:r w:rsidR="00322664" w:rsidRPr="00275971">
        <w:rPr>
          <w:rFonts w:ascii="Times New Roman" w:hAnsi="Times New Roman" w:cs="Times New Roman"/>
          <w:sz w:val="24"/>
          <w:szCs w:val="24"/>
        </w:rPr>
        <w:t xml:space="preserve"> </w:t>
      </w:r>
      <w:r w:rsidR="008D3BEF" w:rsidRPr="00275971">
        <w:rPr>
          <w:rFonts w:ascii="Times New Roman" w:hAnsi="Times New Roman" w:cs="Times New Roman"/>
          <w:sz w:val="24"/>
          <w:szCs w:val="24"/>
        </w:rPr>
        <w:t xml:space="preserve"> </w:t>
      </w:r>
      <w:r w:rsidR="00206106" w:rsidRPr="00275971">
        <w:rPr>
          <w:rFonts w:ascii="Times New Roman" w:hAnsi="Times New Roman" w:cs="Times New Roman"/>
          <w:sz w:val="24"/>
          <w:szCs w:val="24"/>
        </w:rPr>
        <w:t xml:space="preserve"> </w:t>
      </w:r>
      <w:r w:rsidR="00110E87" w:rsidRPr="00275971">
        <w:rPr>
          <w:rFonts w:ascii="Times New Roman" w:hAnsi="Times New Roman" w:cs="Times New Roman"/>
          <w:sz w:val="24"/>
          <w:szCs w:val="24"/>
        </w:rPr>
        <w:t xml:space="preserve"> </w:t>
      </w:r>
      <w:r w:rsidR="00D9474F" w:rsidRPr="00275971">
        <w:rPr>
          <w:rFonts w:ascii="Times New Roman" w:hAnsi="Times New Roman" w:cs="Times New Roman"/>
          <w:sz w:val="24"/>
          <w:szCs w:val="24"/>
        </w:rPr>
        <w:t xml:space="preserve"> </w:t>
      </w:r>
      <w:r w:rsidR="001108C0" w:rsidRPr="00275971">
        <w:rPr>
          <w:rFonts w:ascii="Times New Roman" w:hAnsi="Times New Roman" w:cs="Times New Roman"/>
          <w:sz w:val="24"/>
          <w:szCs w:val="24"/>
        </w:rPr>
        <w:t xml:space="preserve"> </w:t>
      </w:r>
      <w:r w:rsidR="00F107E2" w:rsidRPr="00275971">
        <w:rPr>
          <w:rFonts w:ascii="Times New Roman" w:hAnsi="Times New Roman" w:cs="Times New Roman"/>
          <w:sz w:val="24"/>
          <w:szCs w:val="24"/>
        </w:rPr>
        <w:t xml:space="preserve"> </w:t>
      </w:r>
      <w:r w:rsidR="00717EE7" w:rsidRPr="00275971">
        <w:rPr>
          <w:rFonts w:ascii="Times New Roman" w:hAnsi="Times New Roman" w:cs="Times New Roman"/>
          <w:sz w:val="24"/>
          <w:szCs w:val="24"/>
        </w:rPr>
        <w:t xml:space="preserve"> </w:t>
      </w:r>
      <w:r w:rsidR="00070EB7" w:rsidRPr="00275971">
        <w:rPr>
          <w:rFonts w:ascii="Times New Roman" w:hAnsi="Times New Roman" w:cs="Times New Roman"/>
          <w:sz w:val="24"/>
          <w:szCs w:val="24"/>
        </w:rPr>
        <w:t xml:space="preserve"> </w:t>
      </w:r>
      <w:r w:rsidR="005F45E1" w:rsidRPr="00275971">
        <w:rPr>
          <w:rFonts w:ascii="Times New Roman" w:hAnsi="Times New Roman" w:cs="Times New Roman"/>
          <w:sz w:val="24"/>
          <w:szCs w:val="24"/>
        </w:rPr>
        <w:t xml:space="preserve"> </w:t>
      </w:r>
      <w:r w:rsidR="00596052" w:rsidRPr="00275971">
        <w:rPr>
          <w:rFonts w:ascii="Times New Roman" w:hAnsi="Times New Roman" w:cs="Times New Roman"/>
          <w:sz w:val="24"/>
          <w:szCs w:val="24"/>
        </w:rPr>
        <w:t xml:space="preserve"> </w:t>
      </w:r>
      <w:r w:rsidR="002C5513" w:rsidRPr="00275971">
        <w:rPr>
          <w:rFonts w:ascii="Times New Roman" w:hAnsi="Times New Roman" w:cs="Times New Roman"/>
          <w:sz w:val="24"/>
          <w:szCs w:val="24"/>
        </w:rPr>
        <w:t xml:space="preserve"> </w:t>
      </w:r>
      <w:r w:rsidR="006F1ADB" w:rsidRPr="00275971">
        <w:rPr>
          <w:rFonts w:ascii="Times New Roman" w:hAnsi="Times New Roman" w:cs="Times New Roman"/>
          <w:sz w:val="24"/>
          <w:szCs w:val="24"/>
        </w:rPr>
        <w:t xml:space="preserve"> </w:t>
      </w:r>
      <w:r w:rsidR="00541479" w:rsidRPr="00275971">
        <w:rPr>
          <w:rFonts w:ascii="Times New Roman" w:hAnsi="Times New Roman" w:cs="Times New Roman"/>
          <w:sz w:val="24"/>
          <w:szCs w:val="24"/>
        </w:rPr>
        <w:t xml:space="preserve">  </w:t>
      </w:r>
      <w:r w:rsidR="00760826" w:rsidRPr="00275971">
        <w:rPr>
          <w:rFonts w:ascii="Times New Roman" w:hAnsi="Times New Roman" w:cs="Times New Roman"/>
          <w:sz w:val="24"/>
          <w:szCs w:val="24"/>
        </w:rPr>
        <w:t xml:space="preserve">  </w:t>
      </w:r>
      <w:r w:rsidR="00C83593" w:rsidRPr="00275971">
        <w:rPr>
          <w:rFonts w:ascii="Times New Roman" w:hAnsi="Times New Roman" w:cs="Times New Roman"/>
          <w:sz w:val="24"/>
          <w:szCs w:val="24"/>
        </w:rPr>
        <w:t xml:space="preserve"> </w:t>
      </w:r>
      <w:r w:rsidR="00822F8C" w:rsidRPr="00275971">
        <w:rPr>
          <w:rFonts w:ascii="Times New Roman" w:hAnsi="Times New Roman" w:cs="Times New Roman"/>
          <w:sz w:val="24"/>
          <w:szCs w:val="24"/>
        </w:rPr>
        <w:t xml:space="preserve"> </w:t>
      </w:r>
      <w:r w:rsidR="0000779C" w:rsidRPr="00275971">
        <w:rPr>
          <w:rFonts w:ascii="Times New Roman" w:hAnsi="Times New Roman" w:cs="Times New Roman"/>
          <w:sz w:val="24"/>
          <w:szCs w:val="24"/>
        </w:rPr>
        <w:t xml:space="preserve"> </w:t>
      </w:r>
    </w:p>
    <w:p w:rsidR="009E5018" w:rsidRPr="009E5018" w:rsidRDefault="00F66E5B" w:rsidP="009E50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524E2">
        <w:rPr>
          <w:rFonts w:ascii="Times New Roman" w:hAnsi="Times New Roman" w:cs="Times New Roman"/>
          <w:sz w:val="24"/>
          <w:szCs w:val="24"/>
        </w:rPr>
        <w:t xml:space="preserve">  </w:t>
      </w:r>
      <w:r w:rsidR="009E5018">
        <w:rPr>
          <w:rFonts w:ascii="Times New Roman" w:hAnsi="Times New Roman" w:cs="Times New Roman"/>
          <w:sz w:val="24"/>
          <w:szCs w:val="24"/>
        </w:rPr>
        <w:t xml:space="preserve">  </w:t>
      </w:r>
    </w:p>
    <w:sectPr w:rsidR="009E5018" w:rsidRPr="009E5018" w:rsidSect="002759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587" w:rsidRDefault="004A0587" w:rsidP="00275971">
      <w:pPr>
        <w:spacing w:after="0" w:line="240" w:lineRule="auto"/>
      </w:pPr>
      <w:r>
        <w:separator/>
      </w:r>
    </w:p>
  </w:endnote>
  <w:endnote w:type="continuationSeparator" w:id="0">
    <w:p w:rsidR="004A0587" w:rsidRDefault="004A0587" w:rsidP="00275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587" w:rsidRDefault="004A0587" w:rsidP="00275971">
      <w:pPr>
        <w:spacing w:after="0" w:line="240" w:lineRule="auto"/>
      </w:pPr>
      <w:r>
        <w:separator/>
      </w:r>
    </w:p>
  </w:footnote>
  <w:footnote w:type="continuationSeparator" w:id="0">
    <w:p w:rsidR="004A0587" w:rsidRDefault="004A0587" w:rsidP="002759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30790992"/>
      <w:docPartObj>
        <w:docPartGallery w:val="Page Numbers (Top of Page)"/>
        <w:docPartUnique/>
      </w:docPartObj>
    </w:sdtPr>
    <w:sdtEndPr>
      <w:rPr>
        <w:noProof/>
      </w:rPr>
    </w:sdtEndPr>
    <w:sdtContent>
      <w:p w:rsidR="00275971" w:rsidRPr="00275971" w:rsidRDefault="00275971">
        <w:pPr>
          <w:pStyle w:val="Header"/>
          <w:jc w:val="right"/>
          <w:rPr>
            <w:rFonts w:ascii="Times New Roman" w:hAnsi="Times New Roman" w:cs="Times New Roman"/>
            <w:sz w:val="24"/>
            <w:szCs w:val="24"/>
          </w:rPr>
        </w:pPr>
        <w:r w:rsidRPr="00275971">
          <w:rPr>
            <w:rFonts w:ascii="Times New Roman" w:hAnsi="Times New Roman" w:cs="Times New Roman"/>
            <w:sz w:val="24"/>
            <w:szCs w:val="24"/>
          </w:rPr>
          <w:t>DELEGATION DOCTRINE</w:t>
        </w:r>
        <w:r>
          <w:rPr>
            <w:rFonts w:ascii="Times New Roman" w:hAnsi="Times New Roman" w:cs="Times New Roman"/>
            <w:sz w:val="24"/>
            <w:szCs w:val="24"/>
          </w:rPr>
          <w:t xml:space="preserve">                                                                                                          </w:t>
        </w:r>
        <w:r w:rsidRPr="00275971">
          <w:rPr>
            <w:rFonts w:ascii="Times New Roman" w:hAnsi="Times New Roman" w:cs="Times New Roman"/>
            <w:sz w:val="24"/>
            <w:szCs w:val="24"/>
          </w:rPr>
          <w:t xml:space="preserve"> </w:t>
        </w:r>
        <w:r w:rsidRPr="00275971">
          <w:rPr>
            <w:rFonts w:ascii="Times New Roman" w:hAnsi="Times New Roman" w:cs="Times New Roman"/>
            <w:sz w:val="24"/>
            <w:szCs w:val="24"/>
          </w:rPr>
          <w:fldChar w:fldCharType="begin"/>
        </w:r>
        <w:r w:rsidRPr="00275971">
          <w:rPr>
            <w:rFonts w:ascii="Times New Roman" w:hAnsi="Times New Roman" w:cs="Times New Roman"/>
            <w:sz w:val="24"/>
            <w:szCs w:val="24"/>
          </w:rPr>
          <w:instrText xml:space="preserve"> PAGE   \* MERGEFORMAT </w:instrText>
        </w:r>
        <w:r w:rsidRPr="00275971">
          <w:rPr>
            <w:rFonts w:ascii="Times New Roman" w:hAnsi="Times New Roman" w:cs="Times New Roman"/>
            <w:sz w:val="24"/>
            <w:szCs w:val="24"/>
          </w:rPr>
          <w:fldChar w:fldCharType="separate"/>
        </w:r>
        <w:r w:rsidR="00D613EF">
          <w:rPr>
            <w:rFonts w:ascii="Times New Roman" w:hAnsi="Times New Roman" w:cs="Times New Roman"/>
            <w:noProof/>
            <w:sz w:val="24"/>
            <w:szCs w:val="24"/>
          </w:rPr>
          <w:t>2</w:t>
        </w:r>
        <w:r w:rsidRPr="00275971">
          <w:rPr>
            <w:rFonts w:ascii="Times New Roman" w:hAnsi="Times New Roman" w:cs="Times New Roman"/>
            <w:noProof/>
            <w:sz w:val="24"/>
            <w:szCs w:val="24"/>
          </w:rPr>
          <w:fldChar w:fldCharType="end"/>
        </w:r>
      </w:p>
    </w:sdtContent>
  </w:sdt>
  <w:p w:rsidR="00275971" w:rsidRPr="00275971" w:rsidRDefault="0027597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971" w:rsidRPr="00275971" w:rsidRDefault="00275971">
    <w:pPr>
      <w:pStyle w:val="Header"/>
      <w:rPr>
        <w:rFonts w:ascii="Times New Roman" w:hAnsi="Times New Roman" w:cs="Times New Roman"/>
        <w:sz w:val="24"/>
        <w:szCs w:val="24"/>
      </w:rPr>
    </w:pPr>
    <w:r w:rsidRPr="00275971">
      <w:rPr>
        <w:rFonts w:ascii="Times New Roman" w:hAnsi="Times New Roman" w:cs="Times New Roman"/>
        <w:sz w:val="24"/>
        <w:szCs w:val="24"/>
      </w:rPr>
      <w:t xml:space="preserve">Running Head: DELEGATION DOCTRINE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A66"/>
    <w:rsid w:val="0000373A"/>
    <w:rsid w:val="000060FC"/>
    <w:rsid w:val="0000779C"/>
    <w:rsid w:val="00070EB7"/>
    <w:rsid w:val="00073E8B"/>
    <w:rsid w:val="000E7F6B"/>
    <w:rsid w:val="001108C0"/>
    <w:rsid w:val="00110E87"/>
    <w:rsid w:val="00165B45"/>
    <w:rsid w:val="001828D6"/>
    <w:rsid w:val="001C2F31"/>
    <w:rsid w:val="001C60A4"/>
    <w:rsid w:val="001F2909"/>
    <w:rsid w:val="00206106"/>
    <w:rsid w:val="002228AD"/>
    <w:rsid w:val="00275971"/>
    <w:rsid w:val="00297997"/>
    <w:rsid w:val="002C5513"/>
    <w:rsid w:val="002C6D57"/>
    <w:rsid w:val="002E50C1"/>
    <w:rsid w:val="002E7137"/>
    <w:rsid w:val="00310568"/>
    <w:rsid w:val="00314290"/>
    <w:rsid w:val="00322664"/>
    <w:rsid w:val="003442F2"/>
    <w:rsid w:val="00395F2E"/>
    <w:rsid w:val="003B301B"/>
    <w:rsid w:val="003E740F"/>
    <w:rsid w:val="00416AD5"/>
    <w:rsid w:val="004440AA"/>
    <w:rsid w:val="00497FDA"/>
    <w:rsid w:val="004A0587"/>
    <w:rsid w:val="004E0803"/>
    <w:rsid w:val="00505B59"/>
    <w:rsid w:val="00511351"/>
    <w:rsid w:val="00541479"/>
    <w:rsid w:val="00542BC1"/>
    <w:rsid w:val="0055069A"/>
    <w:rsid w:val="00553C2A"/>
    <w:rsid w:val="0057127E"/>
    <w:rsid w:val="0057262C"/>
    <w:rsid w:val="00573A73"/>
    <w:rsid w:val="00596052"/>
    <w:rsid w:val="005A16CC"/>
    <w:rsid w:val="005C199D"/>
    <w:rsid w:val="005F45E1"/>
    <w:rsid w:val="005F4BE3"/>
    <w:rsid w:val="005F6670"/>
    <w:rsid w:val="005F6A7C"/>
    <w:rsid w:val="00616EEB"/>
    <w:rsid w:val="006413B2"/>
    <w:rsid w:val="006516B8"/>
    <w:rsid w:val="006D0976"/>
    <w:rsid w:val="006F1ADB"/>
    <w:rsid w:val="00706DAB"/>
    <w:rsid w:val="00717EE7"/>
    <w:rsid w:val="00735F69"/>
    <w:rsid w:val="00760826"/>
    <w:rsid w:val="00764851"/>
    <w:rsid w:val="00772B47"/>
    <w:rsid w:val="007862F8"/>
    <w:rsid w:val="00794D68"/>
    <w:rsid w:val="007F7A43"/>
    <w:rsid w:val="00822F8C"/>
    <w:rsid w:val="0082343D"/>
    <w:rsid w:val="008573B0"/>
    <w:rsid w:val="00867C67"/>
    <w:rsid w:val="0089624E"/>
    <w:rsid w:val="008D3BEF"/>
    <w:rsid w:val="008D5E36"/>
    <w:rsid w:val="008F0B30"/>
    <w:rsid w:val="008F45CF"/>
    <w:rsid w:val="00906704"/>
    <w:rsid w:val="00921DC3"/>
    <w:rsid w:val="009335C0"/>
    <w:rsid w:val="009351AA"/>
    <w:rsid w:val="009374C8"/>
    <w:rsid w:val="0093771D"/>
    <w:rsid w:val="00967044"/>
    <w:rsid w:val="009A4FC2"/>
    <w:rsid w:val="009B492E"/>
    <w:rsid w:val="009C158D"/>
    <w:rsid w:val="009E5018"/>
    <w:rsid w:val="009E691D"/>
    <w:rsid w:val="009F0745"/>
    <w:rsid w:val="00A36531"/>
    <w:rsid w:val="00A4266F"/>
    <w:rsid w:val="00A77A2F"/>
    <w:rsid w:val="00A81215"/>
    <w:rsid w:val="00B35C2C"/>
    <w:rsid w:val="00B72DC6"/>
    <w:rsid w:val="00BD559A"/>
    <w:rsid w:val="00BF0A71"/>
    <w:rsid w:val="00BF24CE"/>
    <w:rsid w:val="00BF459F"/>
    <w:rsid w:val="00C2460A"/>
    <w:rsid w:val="00C31016"/>
    <w:rsid w:val="00C44392"/>
    <w:rsid w:val="00C83593"/>
    <w:rsid w:val="00C90A56"/>
    <w:rsid w:val="00C90A66"/>
    <w:rsid w:val="00CE1BBB"/>
    <w:rsid w:val="00CF0810"/>
    <w:rsid w:val="00CF74BC"/>
    <w:rsid w:val="00D007A1"/>
    <w:rsid w:val="00D0116A"/>
    <w:rsid w:val="00D25351"/>
    <w:rsid w:val="00D524E2"/>
    <w:rsid w:val="00D613EF"/>
    <w:rsid w:val="00D9474F"/>
    <w:rsid w:val="00D96204"/>
    <w:rsid w:val="00E31344"/>
    <w:rsid w:val="00E84BFA"/>
    <w:rsid w:val="00E92210"/>
    <w:rsid w:val="00E94F8F"/>
    <w:rsid w:val="00E95B1E"/>
    <w:rsid w:val="00EB50E1"/>
    <w:rsid w:val="00ED7118"/>
    <w:rsid w:val="00ED7F47"/>
    <w:rsid w:val="00F101D3"/>
    <w:rsid w:val="00F107E2"/>
    <w:rsid w:val="00F35B07"/>
    <w:rsid w:val="00F66E5B"/>
    <w:rsid w:val="00FA3B70"/>
    <w:rsid w:val="00FA6867"/>
    <w:rsid w:val="00FB44B7"/>
    <w:rsid w:val="00FB4AC9"/>
    <w:rsid w:val="00FC77EB"/>
    <w:rsid w:val="00FF5726"/>
    <w:rsid w:val="00FF7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971"/>
  </w:style>
  <w:style w:type="paragraph" w:styleId="Footer">
    <w:name w:val="footer"/>
    <w:basedOn w:val="Normal"/>
    <w:link w:val="FooterChar"/>
    <w:uiPriority w:val="99"/>
    <w:unhideWhenUsed/>
    <w:rsid w:val="002759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9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971"/>
  </w:style>
  <w:style w:type="paragraph" w:styleId="Footer">
    <w:name w:val="footer"/>
    <w:basedOn w:val="Normal"/>
    <w:link w:val="FooterChar"/>
    <w:uiPriority w:val="99"/>
    <w:unhideWhenUsed/>
    <w:rsid w:val="002759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1559</Words>
  <Characters>8887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2018-09-26T14:02:00Z</dcterms:created>
  <dcterms:modified xsi:type="dcterms:W3CDTF">2018-09-26T14:02:00Z</dcterms:modified>
</cp:coreProperties>
</file>